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39B75E8A"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51300" w:rsidRPr="00CD5A36">
        <w:rPr>
          <w:rFonts w:ascii="Arial" w:hAnsi="Arial" w:cs="Arial"/>
          <w:b/>
          <w:sz w:val="24"/>
          <w:szCs w:val="24"/>
        </w:rPr>
        <w:t>98-</w:t>
      </w:r>
      <w:r w:rsidR="00951300">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B55F62" w:rsidRPr="00B55F62">
        <w:rPr>
          <w:rFonts w:ascii="Arial" w:hAnsi="Arial" w:cs="Arial"/>
          <w:b/>
          <w:sz w:val="24"/>
          <w:szCs w:val="24"/>
        </w:rPr>
        <w:t>R4-2104843</w:t>
      </w:r>
    </w:p>
    <w:p w14:paraId="2C67BE8C" w14:textId="3845A05D"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Apr. 12-20</w:t>
      </w:r>
      <w:r w:rsidRPr="00CD5A36">
        <w:rPr>
          <w:rFonts w:ascii="Arial" w:eastAsia="SimSun" w:hAnsi="Arial"/>
          <w:b/>
          <w:sz w:val="24"/>
          <w:szCs w:val="24"/>
          <w:lang w:eastAsia="zh-CN"/>
        </w:rPr>
        <w:t>, 2021</w:t>
      </w:r>
    </w:p>
    <w:p w14:paraId="2305CEA3" w14:textId="028B66C7" w:rsidR="009F52D7" w:rsidRPr="00303915" w:rsidRDefault="009F52D7" w:rsidP="009F52D7">
      <w:pPr>
        <w:pStyle w:val="CH"/>
        <w:rPr>
          <w:sz w:val="24"/>
          <w:szCs w:val="24"/>
        </w:rPr>
      </w:pPr>
      <w:r w:rsidRPr="00303915">
        <w:rPr>
          <w:sz w:val="24"/>
          <w:szCs w:val="24"/>
        </w:rPr>
        <w:t>Agenda item:</w:t>
      </w:r>
      <w:r w:rsidRPr="00303915">
        <w:rPr>
          <w:sz w:val="24"/>
          <w:szCs w:val="24"/>
        </w:rPr>
        <w:tab/>
      </w:r>
      <w:r w:rsidR="004816E1" w:rsidRPr="004816E1">
        <w:rPr>
          <w:sz w:val="24"/>
          <w:szCs w:val="24"/>
        </w:rPr>
        <w:t>7.27.4.2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449817B"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587718" w:rsidRPr="00736525">
        <w:rPr>
          <w:bCs/>
          <w:sz w:val="24"/>
          <w:szCs w:val="24"/>
          <w:lang w:val="en-US"/>
        </w:rPr>
        <w:t xml:space="preserve">On </w:t>
      </w:r>
      <w:r w:rsidR="004816E1" w:rsidRPr="00736525">
        <w:rPr>
          <w:bCs/>
          <w:sz w:val="24"/>
          <w:szCs w:val="24"/>
          <w:lang w:val="en-US"/>
        </w:rPr>
        <w:t>UE</w:t>
      </w:r>
      <w:r w:rsidR="004816E1">
        <w:rPr>
          <w:bCs/>
          <w:sz w:val="24"/>
          <w:szCs w:val="24"/>
          <w:lang w:val="en-US"/>
        </w:rPr>
        <w:t xml:space="preserve"> Demodulation requirements for band n262</w:t>
      </w:r>
    </w:p>
    <w:p w14:paraId="2AB0E874" w14:textId="4B07F62A"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4816E1">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06A2F85C" w14:textId="1BF0733F" w:rsidR="00764C9C" w:rsidRPr="00764C9C" w:rsidRDefault="009F52D7" w:rsidP="009F52D7">
      <w:pPr>
        <w:spacing w:after="120"/>
        <w:rPr>
          <w:sz w:val="20"/>
          <w:szCs w:val="20"/>
        </w:rPr>
      </w:pPr>
      <w:r w:rsidRPr="00764C9C">
        <w:rPr>
          <w:sz w:val="20"/>
          <w:szCs w:val="20"/>
        </w:rPr>
        <w:t>In RAN4#9</w:t>
      </w:r>
      <w:r w:rsidR="008946F8" w:rsidRPr="00764C9C">
        <w:rPr>
          <w:sz w:val="20"/>
          <w:szCs w:val="20"/>
        </w:rPr>
        <w:t>8</w:t>
      </w:r>
      <w:r w:rsidRPr="00764C9C">
        <w:rPr>
          <w:sz w:val="20"/>
          <w:szCs w:val="20"/>
        </w:rPr>
        <w:t xml:space="preserve">e </w:t>
      </w:r>
      <w:r w:rsidR="005D1B1F" w:rsidRPr="00764C9C">
        <w:rPr>
          <w:sz w:val="20"/>
          <w:szCs w:val="20"/>
        </w:rPr>
        <w:t>UE demodulation requirements for</w:t>
      </w:r>
      <w:r w:rsidR="00764C9C" w:rsidRPr="00764C9C">
        <w:rPr>
          <w:sz w:val="20"/>
          <w:szCs w:val="20"/>
        </w:rPr>
        <w:t xml:space="preserve"> 47GHz </w:t>
      </w:r>
      <w:r w:rsidR="005D1B1F" w:rsidRPr="00764C9C">
        <w:rPr>
          <w:sz w:val="20"/>
          <w:szCs w:val="20"/>
        </w:rPr>
        <w:t xml:space="preserve">was discussed and way forward [1] was agreed. </w:t>
      </w:r>
      <w:r w:rsidR="00764C9C" w:rsidRPr="00764C9C">
        <w:rPr>
          <w:sz w:val="20"/>
          <w:szCs w:val="20"/>
        </w:rPr>
        <w:t>The agreements related to UE demodulation requirements were:</w:t>
      </w:r>
    </w:p>
    <w:tbl>
      <w:tblPr>
        <w:tblStyle w:val="TableGrid"/>
        <w:tblW w:w="0" w:type="auto"/>
        <w:tblLook w:val="04A0" w:firstRow="1" w:lastRow="0" w:firstColumn="1" w:lastColumn="0" w:noHBand="0" w:noVBand="1"/>
      </w:tblPr>
      <w:tblGrid>
        <w:gridCol w:w="9350"/>
      </w:tblGrid>
      <w:tr w:rsidR="00764C9C" w:rsidRPr="00764C9C" w14:paraId="1D8EF2F4" w14:textId="77777777" w:rsidTr="00764C9C">
        <w:tc>
          <w:tcPr>
            <w:tcW w:w="9350" w:type="dxa"/>
          </w:tcPr>
          <w:p w14:paraId="0947E2CE" w14:textId="77777777" w:rsidR="00764C9C" w:rsidRPr="00764C9C" w:rsidRDefault="00764C9C" w:rsidP="00764C9C">
            <w:pPr>
              <w:numPr>
                <w:ilvl w:val="0"/>
                <w:numId w:val="3"/>
              </w:numPr>
              <w:tabs>
                <w:tab w:val="num" w:pos="720"/>
              </w:tabs>
              <w:spacing w:after="120"/>
              <w:rPr>
                <w:sz w:val="20"/>
                <w:szCs w:val="20"/>
              </w:rPr>
            </w:pPr>
            <w:r w:rsidRPr="00764C9C">
              <w:rPr>
                <w:sz w:val="20"/>
                <w:szCs w:val="20"/>
              </w:rPr>
              <w:t>Whether the existing UE performance requirements applicable for 47GHz band or not</w:t>
            </w:r>
          </w:p>
          <w:p w14:paraId="25D4A725" w14:textId="77777777" w:rsidR="00764C9C" w:rsidRPr="00764C9C" w:rsidRDefault="00764C9C" w:rsidP="00764C9C">
            <w:pPr>
              <w:numPr>
                <w:ilvl w:val="1"/>
                <w:numId w:val="3"/>
              </w:numPr>
              <w:tabs>
                <w:tab w:val="num" w:pos="1440"/>
              </w:tabs>
              <w:spacing w:after="120"/>
              <w:rPr>
                <w:sz w:val="20"/>
                <w:szCs w:val="20"/>
              </w:rPr>
            </w:pPr>
            <w:r w:rsidRPr="00764C9C">
              <w:rPr>
                <w:sz w:val="20"/>
                <w:szCs w:val="20"/>
              </w:rPr>
              <w:t>Interested companies are encouraged to provide the evaluation results whether the existing UE demodulation requirements are applicable for 47GHz band or not</w:t>
            </w:r>
          </w:p>
          <w:p w14:paraId="6A1CF3A8" w14:textId="77777777" w:rsidR="00764C9C" w:rsidRPr="00764C9C" w:rsidRDefault="00764C9C" w:rsidP="00764C9C">
            <w:pPr>
              <w:numPr>
                <w:ilvl w:val="2"/>
                <w:numId w:val="3"/>
              </w:numPr>
              <w:tabs>
                <w:tab w:val="num" w:pos="2160"/>
              </w:tabs>
              <w:spacing w:after="120"/>
              <w:rPr>
                <w:sz w:val="20"/>
                <w:szCs w:val="20"/>
              </w:rPr>
            </w:pPr>
            <w:r w:rsidRPr="00764C9C">
              <w:rPr>
                <w:sz w:val="20"/>
                <w:szCs w:val="20"/>
              </w:rPr>
              <w:t xml:space="preserve">For evaluation, use MCS 18 Rank 1 (Test 1-3 in TS38.101-4 Table 7.2.2.2.1-3) and MCS 17 Rank 2 (Test 2-6 in Table 7.2.2.2.1-4) for n262, as an example.  </w:t>
            </w:r>
          </w:p>
          <w:p w14:paraId="73BC5D3A" w14:textId="77777777" w:rsidR="00764C9C" w:rsidRPr="00764C9C" w:rsidRDefault="00764C9C" w:rsidP="00764C9C">
            <w:pPr>
              <w:numPr>
                <w:ilvl w:val="3"/>
                <w:numId w:val="3"/>
              </w:numPr>
              <w:tabs>
                <w:tab w:val="num" w:pos="2880"/>
              </w:tabs>
              <w:spacing w:after="120"/>
              <w:rPr>
                <w:sz w:val="20"/>
                <w:szCs w:val="20"/>
              </w:rPr>
            </w:pPr>
            <w:r w:rsidRPr="00764C9C">
              <w:rPr>
                <w:sz w:val="20"/>
                <w:szCs w:val="20"/>
              </w:rPr>
              <w:t>Other scenarios are not precluded</w:t>
            </w:r>
          </w:p>
          <w:p w14:paraId="1C517B2D" w14:textId="77777777" w:rsidR="00764C9C" w:rsidRPr="00764C9C" w:rsidRDefault="00764C9C" w:rsidP="00764C9C">
            <w:pPr>
              <w:numPr>
                <w:ilvl w:val="2"/>
                <w:numId w:val="3"/>
              </w:numPr>
              <w:tabs>
                <w:tab w:val="num" w:pos="2160"/>
              </w:tabs>
              <w:spacing w:after="120"/>
              <w:rPr>
                <w:sz w:val="20"/>
                <w:szCs w:val="20"/>
              </w:rPr>
            </w:pPr>
            <w:r w:rsidRPr="00764C9C">
              <w:rPr>
                <w:sz w:val="20"/>
                <w:szCs w:val="20"/>
              </w:rPr>
              <w:t>Phase noise (PN) model is up to UE implementation</w:t>
            </w:r>
          </w:p>
          <w:p w14:paraId="7CEF1F9F" w14:textId="77777777" w:rsidR="00764C9C" w:rsidRPr="00764C9C" w:rsidRDefault="00764C9C" w:rsidP="00764C9C">
            <w:pPr>
              <w:numPr>
                <w:ilvl w:val="0"/>
                <w:numId w:val="3"/>
              </w:numPr>
              <w:tabs>
                <w:tab w:val="num" w:pos="720"/>
              </w:tabs>
              <w:spacing w:after="120"/>
              <w:rPr>
                <w:sz w:val="20"/>
                <w:szCs w:val="20"/>
              </w:rPr>
            </w:pPr>
            <w:r w:rsidRPr="00764C9C">
              <w:rPr>
                <w:sz w:val="20"/>
                <w:szCs w:val="20"/>
              </w:rPr>
              <w:t xml:space="preserve">Set </w:t>
            </w:r>
            <w:proofErr w:type="spellStart"/>
            <w:r w:rsidRPr="00764C9C">
              <w:rPr>
                <w:sz w:val="20"/>
                <w:szCs w:val="20"/>
              </w:rPr>
              <w:t>Noc</w:t>
            </w:r>
            <w:proofErr w:type="spellEnd"/>
            <w:r w:rsidRPr="00764C9C">
              <w:rPr>
                <w:sz w:val="20"/>
                <w:szCs w:val="20"/>
              </w:rPr>
              <w:t xml:space="preserve"> level for n262 in TS38.101-4 Table 4.5.3.2-1 based on REFSENS defined in RF session</w:t>
            </w:r>
          </w:p>
          <w:p w14:paraId="4D825F4D" w14:textId="77777777" w:rsidR="00764C9C" w:rsidRPr="00764C9C" w:rsidRDefault="00764C9C" w:rsidP="009F52D7">
            <w:pPr>
              <w:spacing w:after="120"/>
              <w:rPr>
                <w:sz w:val="20"/>
                <w:szCs w:val="20"/>
              </w:rPr>
            </w:pPr>
          </w:p>
        </w:tc>
      </w:tr>
    </w:tbl>
    <w:p w14:paraId="1C7D1CEE" w14:textId="77777777" w:rsidR="00764C9C" w:rsidRDefault="00764C9C" w:rsidP="009F52D7">
      <w:pPr>
        <w:spacing w:after="120"/>
        <w:rPr>
          <w:sz w:val="20"/>
          <w:szCs w:val="20"/>
          <w:highlight w:val="yellow"/>
        </w:rPr>
      </w:pPr>
    </w:p>
    <w:p w14:paraId="5AD8EAAC" w14:textId="6E505C43" w:rsidR="009F52D7" w:rsidRDefault="005D1B1F" w:rsidP="009F52D7">
      <w:pPr>
        <w:spacing w:after="120"/>
        <w:rPr>
          <w:sz w:val="20"/>
          <w:szCs w:val="20"/>
        </w:rPr>
      </w:pPr>
      <w:r w:rsidRPr="001B24FF">
        <w:rPr>
          <w:sz w:val="20"/>
          <w:szCs w:val="20"/>
        </w:rPr>
        <w:t xml:space="preserve">In this contribution we present our views on </w:t>
      </w:r>
      <w:r w:rsidR="008946F8" w:rsidRPr="001B24FF">
        <w:rPr>
          <w:sz w:val="20"/>
          <w:szCs w:val="20"/>
        </w:rPr>
        <w:t xml:space="preserve">UE demodulation requirements for </w:t>
      </w:r>
      <w:r w:rsidR="00764C9C" w:rsidRPr="001B24FF">
        <w:rPr>
          <w:sz w:val="20"/>
          <w:szCs w:val="20"/>
        </w:rPr>
        <w:t>47GHz</w:t>
      </w:r>
      <w:r w:rsidR="008946F8" w:rsidRPr="001B24FF">
        <w:rPr>
          <w:sz w:val="20"/>
          <w:szCs w:val="20"/>
        </w:rPr>
        <w:t>.</w:t>
      </w:r>
    </w:p>
    <w:p w14:paraId="7E847209" w14:textId="77777777" w:rsidR="008946F8" w:rsidRPr="00902CCA" w:rsidRDefault="008946F8" w:rsidP="009F52D7">
      <w:pPr>
        <w:spacing w:after="120"/>
        <w:rPr>
          <w:sz w:val="20"/>
          <w:szCs w:val="20"/>
        </w:rPr>
      </w:pPr>
    </w:p>
    <w:p w14:paraId="4EAFA8EB" w14:textId="77777777" w:rsidR="009F52D7" w:rsidRDefault="009F52D7" w:rsidP="009F52D7">
      <w:pPr>
        <w:pStyle w:val="Heading1"/>
      </w:pPr>
      <w:r>
        <w:t>2. Discussion</w:t>
      </w:r>
    </w:p>
    <w:p w14:paraId="08B10924" w14:textId="2926A16D" w:rsidR="007B1D93" w:rsidRDefault="001B24FF" w:rsidP="00764C9C">
      <w:pPr>
        <w:spacing w:after="120"/>
        <w:rPr>
          <w:sz w:val="20"/>
          <w:szCs w:val="20"/>
        </w:rPr>
      </w:pPr>
      <w:r>
        <w:rPr>
          <w:sz w:val="20"/>
          <w:szCs w:val="20"/>
        </w:rPr>
        <w:t xml:space="preserve">In TS 38.101-4 Section 7, the demodulation performance requirements are applicable to FR2 bands up to 40GHz. </w:t>
      </w:r>
      <w:r w:rsidR="00D12319">
        <w:rPr>
          <w:sz w:val="20"/>
          <w:szCs w:val="20"/>
        </w:rPr>
        <w:t xml:space="preserve">From </w:t>
      </w:r>
      <w:r w:rsidR="007B1D93">
        <w:rPr>
          <w:sz w:val="20"/>
          <w:szCs w:val="20"/>
        </w:rPr>
        <w:t>baseband</w:t>
      </w:r>
      <w:r w:rsidR="00D12319">
        <w:rPr>
          <w:sz w:val="20"/>
          <w:szCs w:val="20"/>
        </w:rPr>
        <w:t xml:space="preserve"> requirements, perspective the current requirements would </w:t>
      </w:r>
      <w:proofErr w:type="gramStart"/>
      <w:r w:rsidR="00D12319">
        <w:rPr>
          <w:sz w:val="20"/>
          <w:szCs w:val="20"/>
        </w:rPr>
        <w:t xml:space="preserve">be </w:t>
      </w:r>
      <w:r>
        <w:rPr>
          <w:sz w:val="20"/>
          <w:szCs w:val="20"/>
        </w:rPr>
        <w:t xml:space="preserve"> </w:t>
      </w:r>
      <w:r w:rsidR="00D12319">
        <w:rPr>
          <w:sz w:val="20"/>
          <w:szCs w:val="20"/>
        </w:rPr>
        <w:t>applicable</w:t>
      </w:r>
      <w:proofErr w:type="gramEnd"/>
      <w:r w:rsidR="00D12319">
        <w:rPr>
          <w:sz w:val="20"/>
          <w:szCs w:val="20"/>
        </w:rPr>
        <w:t xml:space="preserve"> up to 47GHz. </w:t>
      </w:r>
    </w:p>
    <w:p w14:paraId="37B15B34" w14:textId="4D998220" w:rsidR="007B1D93" w:rsidRDefault="00D12319" w:rsidP="00764C9C">
      <w:pPr>
        <w:spacing w:after="120"/>
        <w:rPr>
          <w:sz w:val="20"/>
          <w:szCs w:val="20"/>
        </w:rPr>
      </w:pPr>
      <w:r>
        <w:rPr>
          <w:sz w:val="20"/>
          <w:szCs w:val="20"/>
        </w:rPr>
        <w:t xml:space="preserve">In our companion paper [2], we present the </w:t>
      </w:r>
      <w:r w:rsidR="007B1D93">
        <w:rPr>
          <w:sz w:val="20"/>
          <w:szCs w:val="20"/>
        </w:rPr>
        <w:t xml:space="preserve">OTA testability aspects for band n262. </w:t>
      </w:r>
      <w:r w:rsidR="00414BDF">
        <w:rPr>
          <w:sz w:val="20"/>
          <w:szCs w:val="20"/>
        </w:rPr>
        <w:t>Our calculation for maximum SNR for band n262 is captured in the table below.</w:t>
      </w:r>
    </w:p>
    <w:p w14:paraId="5EAC5C63" w14:textId="5149F599" w:rsidR="007B1D93" w:rsidRPr="00414BDF" w:rsidRDefault="00414BDF" w:rsidP="00414BDF">
      <w:pPr>
        <w:pStyle w:val="TH"/>
        <w:rPr>
          <w:lang w:val="en-US"/>
        </w:rPr>
      </w:pPr>
      <w:r>
        <w:rPr>
          <w:lang w:val="en-US"/>
        </w:rPr>
        <w:t>Table 1: Comparison of maximum SNR between TR38.810 and potential extension to band n262</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537"/>
        <w:gridCol w:w="2537"/>
      </w:tblGrid>
      <w:tr w:rsidR="007B1D93" w:rsidRPr="00684CEA" w14:paraId="350E17F7" w14:textId="77777777" w:rsidTr="00CA3739">
        <w:trPr>
          <w:jc w:val="center"/>
        </w:trPr>
        <w:tc>
          <w:tcPr>
            <w:tcW w:w="2722" w:type="dxa"/>
            <w:tcBorders>
              <w:bottom w:val="single" w:sz="4" w:space="0" w:color="auto"/>
            </w:tcBorders>
          </w:tcPr>
          <w:p w14:paraId="0258627D" w14:textId="77777777" w:rsidR="007B1D93" w:rsidRPr="00684CEA" w:rsidRDefault="007B1D93" w:rsidP="00CA3739">
            <w:pPr>
              <w:pStyle w:val="TAH"/>
            </w:pPr>
          </w:p>
        </w:tc>
        <w:tc>
          <w:tcPr>
            <w:tcW w:w="2722" w:type="dxa"/>
            <w:shd w:val="clear" w:color="auto" w:fill="auto"/>
          </w:tcPr>
          <w:p w14:paraId="13C71494" w14:textId="77777777" w:rsidR="007B1D93" w:rsidRPr="00684CEA" w:rsidRDefault="007B1D93" w:rsidP="00CA3739">
            <w:pPr>
              <w:pStyle w:val="TAH"/>
            </w:pPr>
            <w:r w:rsidRPr="00684CEA">
              <w:t>Channel Bandwidth</w:t>
            </w:r>
          </w:p>
        </w:tc>
        <w:tc>
          <w:tcPr>
            <w:tcW w:w="2537" w:type="dxa"/>
          </w:tcPr>
          <w:p w14:paraId="576D29F7" w14:textId="77777777" w:rsidR="007B1D93" w:rsidRPr="00684CEA" w:rsidRDefault="007B1D93" w:rsidP="00CA3739">
            <w:pPr>
              <w:pStyle w:val="TAH"/>
            </w:pPr>
            <w:r w:rsidRPr="00684CEA">
              <w:t>Maximum SNR</w:t>
            </w:r>
            <w:r>
              <w:t xml:space="preserve"> (TR38.810)</w:t>
            </w:r>
          </w:p>
        </w:tc>
        <w:tc>
          <w:tcPr>
            <w:tcW w:w="2537" w:type="dxa"/>
            <w:shd w:val="clear" w:color="auto" w:fill="auto"/>
          </w:tcPr>
          <w:p w14:paraId="11EFBC0E" w14:textId="77777777" w:rsidR="007B1D93" w:rsidRPr="00684CEA" w:rsidRDefault="007B1D93" w:rsidP="00CA3739">
            <w:pPr>
              <w:pStyle w:val="TAH"/>
            </w:pPr>
            <w:r w:rsidRPr="00684CEA">
              <w:t>Maximum SNR</w:t>
            </w:r>
            <w:r>
              <w:t xml:space="preserve"> (n262)</w:t>
            </w:r>
          </w:p>
        </w:tc>
      </w:tr>
      <w:tr w:rsidR="007B1D93" w:rsidRPr="00684CEA" w14:paraId="4266C4F5" w14:textId="77777777" w:rsidTr="00CA3739">
        <w:trPr>
          <w:jc w:val="center"/>
        </w:trPr>
        <w:tc>
          <w:tcPr>
            <w:tcW w:w="2722" w:type="dxa"/>
            <w:tcBorders>
              <w:bottom w:val="nil"/>
            </w:tcBorders>
            <w:shd w:val="clear" w:color="auto" w:fill="auto"/>
          </w:tcPr>
          <w:p w14:paraId="78BA1F04" w14:textId="77777777" w:rsidR="007B1D93" w:rsidRPr="00684CEA" w:rsidRDefault="007B1D93" w:rsidP="00CA3739">
            <w:pPr>
              <w:pStyle w:val="TAC"/>
            </w:pPr>
            <w:r w:rsidRPr="00684CEA">
              <w:t>Single band UE</w:t>
            </w:r>
          </w:p>
        </w:tc>
        <w:tc>
          <w:tcPr>
            <w:tcW w:w="2722" w:type="dxa"/>
            <w:shd w:val="clear" w:color="auto" w:fill="auto"/>
          </w:tcPr>
          <w:p w14:paraId="1744D6D0" w14:textId="77777777" w:rsidR="007B1D93" w:rsidRPr="00684CEA" w:rsidRDefault="007B1D93" w:rsidP="00CA3739">
            <w:pPr>
              <w:pStyle w:val="TAC"/>
            </w:pPr>
            <w:r w:rsidRPr="00684CEA">
              <w:t>100 MHz</w:t>
            </w:r>
          </w:p>
        </w:tc>
        <w:tc>
          <w:tcPr>
            <w:tcW w:w="2537" w:type="dxa"/>
          </w:tcPr>
          <w:p w14:paraId="46F1B4DE" w14:textId="77777777" w:rsidR="007B1D93" w:rsidRPr="00684CEA" w:rsidRDefault="007B1D93" w:rsidP="00CA3739">
            <w:pPr>
              <w:pStyle w:val="TAC"/>
            </w:pPr>
            <w:r w:rsidRPr="00684CEA">
              <w:t>[19.7 dB]</w:t>
            </w:r>
          </w:p>
        </w:tc>
        <w:tc>
          <w:tcPr>
            <w:tcW w:w="2537" w:type="dxa"/>
            <w:shd w:val="clear" w:color="auto" w:fill="auto"/>
          </w:tcPr>
          <w:p w14:paraId="41B4712E" w14:textId="77777777" w:rsidR="007B1D93" w:rsidRPr="00684CEA" w:rsidRDefault="007B1D93" w:rsidP="00CA3739">
            <w:pPr>
              <w:pStyle w:val="TAC"/>
            </w:pPr>
            <w:r>
              <w:t>[15.2]</w:t>
            </w:r>
          </w:p>
        </w:tc>
      </w:tr>
      <w:tr w:rsidR="007B1D93" w:rsidRPr="00684CEA" w14:paraId="05F75CAB" w14:textId="77777777" w:rsidTr="00CA3739">
        <w:trPr>
          <w:jc w:val="center"/>
        </w:trPr>
        <w:tc>
          <w:tcPr>
            <w:tcW w:w="2722" w:type="dxa"/>
            <w:tcBorders>
              <w:top w:val="nil"/>
              <w:bottom w:val="single" w:sz="4" w:space="0" w:color="auto"/>
            </w:tcBorders>
            <w:shd w:val="clear" w:color="auto" w:fill="auto"/>
          </w:tcPr>
          <w:p w14:paraId="7B9EBD46" w14:textId="77777777" w:rsidR="007B1D93" w:rsidRPr="00684CEA" w:rsidRDefault="007B1D93" w:rsidP="00CA3739">
            <w:pPr>
              <w:pStyle w:val="TAC"/>
            </w:pPr>
          </w:p>
        </w:tc>
        <w:tc>
          <w:tcPr>
            <w:tcW w:w="2722" w:type="dxa"/>
            <w:shd w:val="clear" w:color="auto" w:fill="auto"/>
          </w:tcPr>
          <w:p w14:paraId="13D01135" w14:textId="77777777" w:rsidR="007B1D93" w:rsidRPr="00684CEA" w:rsidRDefault="007B1D93" w:rsidP="00CA3739">
            <w:pPr>
              <w:pStyle w:val="TAC"/>
            </w:pPr>
            <w:r w:rsidRPr="00684CEA">
              <w:t>200 MHz</w:t>
            </w:r>
          </w:p>
        </w:tc>
        <w:tc>
          <w:tcPr>
            <w:tcW w:w="2537" w:type="dxa"/>
          </w:tcPr>
          <w:p w14:paraId="3030CB96" w14:textId="77777777" w:rsidR="007B1D93" w:rsidRPr="00684CEA" w:rsidRDefault="007B1D93" w:rsidP="00CA3739">
            <w:pPr>
              <w:pStyle w:val="TAC"/>
            </w:pPr>
            <w:r w:rsidRPr="00684CEA">
              <w:t>[16.7 dB]</w:t>
            </w:r>
          </w:p>
        </w:tc>
        <w:tc>
          <w:tcPr>
            <w:tcW w:w="2537" w:type="dxa"/>
            <w:shd w:val="clear" w:color="auto" w:fill="auto"/>
          </w:tcPr>
          <w:p w14:paraId="5AFF0F35" w14:textId="77777777" w:rsidR="007B1D93" w:rsidRPr="00684CEA" w:rsidRDefault="007B1D93" w:rsidP="00CA3739">
            <w:pPr>
              <w:pStyle w:val="TAC"/>
            </w:pPr>
            <w:r>
              <w:t>[12.2]</w:t>
            </w:r>
          </w:p>
        </w:tc>
      </w:tr>
      <w:tr w:rsidR="007B1D93" w:rsidRPr="00684CEA" w14:paraId="126B1CF2" w14:textId="77777777" w:rsidTr="00CA3739">
        <w:trPr>
          <w:jc w:val="center"/>
        </w:trPr>
        <w:tc>
          <w:tcPr>
            <w:tcW w:w="2722" w:type="dxa"/>
            <w:tcBorders>
              <w:bottom w:val="nil"/>
            </w:tcBorders>
            <w:shd w:val="clear" w:color="auto" w:fill="auto"/>
          </w:tcPr>
          <w:p w14:paraId="7DAABB9F" w14:textId="77777777" w:rsidR="007B1D93" w:rsidRPr="00684CEA" w:rsidRDefault="007B1D93" w:rsidP="00CA3739">
            <w:pPr>
              <w:pStyle w:val="TAC"/>
            </w:pPr>
            <w:r w:rsidRPr="00684CEA">
              <w:t>Multi-band UE</w:t>
            </w:r>
            <w:r w:rsidRPr="00684CEA">
              <w:rPr>
                <w:vertAlign w:val="superscript"/>
              </w:rPr>
              <w:t xml:space="preserve"> (Note)</w:t>
            </w:r>
          </w:p>
        </w:tc>
        <w:tc>
          <w:tcPr>
            <w:tcW w:w="2722" w:type="dxa"/>
            <w:shd w:val="clear" w:color="auto" w:fill="auto"/>
          </w:tcPr>
          <w:p w14:paraId="19ECC91C" w14:textId="77777777" w:rsidR="007B1D93" w:rsidRPr="00684CEA" w:rsidRDefault="007B1D93" w:rsidP="00CA3739">
            <w:pPr>
              <w:pStyle w:val="TAC"/>
            </w:pPr>
            <w:r w:rsidRPr="00684CEA">
              <w:t>100 MHz</w:t>
            </w:r>
          </w:p>
        </w:tc>
        <w:tc>
          <w:tcPr>
            <w:tcW w:w="2537" w:type="dxa"/>
          </w:tcPr>
          <w:p w14:paraId="2BEC04E0" w14:textId="77777777" w:rsidR="007B1D93" w:rsidRPr="00684CEA" w:rsidRDefault="007B1D93" w:rsidP="00CA3739">
            <w:pPr>
              <w:pStyle w:val="TAC"/>
            </w:pPr>
            <w:r w:rsidRPr="00684CEA">
              <w:t>[17.7 dB]</w:t>
            </w:r>
          </w:p>
        </w:tc>
        <w:tc>
          <w:tcPr>
            <w:tcW w:w="2537" w:type="dxa"/>
            <w:shd w:val="clear" w:color="auto" w:fill="auto"/>
          </w:tcPr>
          <w:p w14:paraId="1883C6B7" w14:textId="77777777" w:rsidR="007B1D93" w:rsidRPr="00684CEA" w:rsidRDefault="007B1D93" w:rsidP="00CA3739">
            <w:pPr>
              <w:pStyle w:val="TAC"/>
            </w:pPr>
            <w:r>
              <w:t>[14.2]</w:t>
            </w:r>
          </w:p>
        </w:tc>
      </w:tr>
      <w:tr w:rsidR="007B1D93" w:rsidRPr="00684CEA" w14:paraId="4A22121C" w14:textId="77777777" w:rsidTr="00CA3739">
        <w:trPr>
          <w:jc w:val="center"/>
        </w:trPr>
        <w:tc>
          <w:tcPr>
            <w:tcW w:w="2722" w:type="dxa"/>
            <w:tcBorders>
              <w:top w:val="nil"/>
            </w:tcBorders>
            <w:shd w:val="clear" w:color="auto" w:fill="auto"/>
          </w:tcPr>
          <w:p w14:paraId="324227D0" w14:textId="77777777" w:rsidR="007B1D93" w:rsidRPr="00684CEA" w:rsidRDefault="007B1D93" w:rsidP="00CA3739">
            <w:pPr>
              <w:pStyle w:val="TAC"/>
            </w:pPr>
          </w:p>
        </w:tc>
        <w:tc>
          <w:tcPr>
            <w:tcW w:w="2722" w:type="dxa"/>
            <w:shd w:val="clear" w:color="auto" w:fill="auto"/>
          </w:tcPr>
          <w:p w14:paraId="2EFE1D5F" w14:textId="77777777" w:rsidR="007B1D93" w:rsidRPr="00684CEA" w:rsidRDefault="007B1D93" w:rsidP="00CA3739">
            <w:pPr>
              <w:pStyle w:val="TAC"/>
            </w:pPr>
            <w:r w:rsidRPr="00684CEA">
              <w:t>200 MHz</w:t>
            </w:r>
          </w:p>
        </w:tc>
        <w:tc>
          <w:tcPr>
            <w:tcW w:w="2537" w:type="dxa"/>
          </w:tcPr>
          <w:p w14:paraId="65B991F0" w14:textId="77777777" w:rsidR="007B1D93" w:rsidRPr="00684CEA" w:rsidRDefault="007B1D93" w:rsidP="00CA3739">
            <w:pPr>
              <w:pStyle w:val="TAC"/>
            </w:pPr>
            <w:r w:rsidRPr="00684CEA">
              <w:t>[14.6 dB]</w:t>
            </w:r>
          </w:p>
        </w:tc>
        <w:tc>
          <w:tcPr>
            <w:tcW w:w="2537" w:type="dxa"/>
            <w:shd w:val="clear" w:color="auto" w:fill="auto"/>
          </w:tcPr>
          <w:p w14:paraId="1B208885" w14:textId="77777777" w:rsidR="007B1D93" w:rsidRPr="00684CEA" w:rsidRDefault="007B1D93" w:rsidP="00CA3739">
            <w:pPr>
              <w:pStyle w:val="TAC"/>
            </w:pPr>
            <w:r>
              <w:t>[11.2]</w:t>
            </w:r>
          </w:p>
        </w:tc>
      </w:tr>
      <w:tr w:rsidR="007B1D93" w:rsidRPr="00684CEA" w14:paraId="41C60620" w14:textId="77777777" w:rsidTr="00CA3739">
        <w:trPr>
          <w:jc w:val="center"/>
        </w:trPr>
        <w:tc>
          <w:tcPr>
            <w:tcW w:w="10518" w:type="dxa"/>
            <w:gridSpan w:val="4"/>
          </w:tcPr>
          <w:p w14:paraId="181D9411" w14:textId="77777777" w:rsidR="007B1D93" w:rsidRPr="00684CEA" w:rsidRDefault="007B1D93" w:rsidP="00CA3739">
            <w:pPr>
              <w:pStyle w:val="TAN"/>
            </w:pPr>
            <w:r w:rsidRPr="00684CEA">
              <w:t>Note:</w:t>
            </w:r>
            <w:r w:rsidRPr="00684CEA">
              <w:tab/>
              <w:t xml:space="preserve">For </w:t>
            </w:r>
            <w:r w:rsidRPr="00684CEA">
              <w:rPr>
                <w:rFonts w:hint="eastAsia"/>
              </w:rPr>
              <w:t>∑</w:t>
            </w:r>
            <w:proofErr w:type="spellStart"/>
            <w:r w:rsidRPr="00684CEA">
              <w:rPr>
                <w:rFonts w:hint="eastAsia"/>
              </w:rPr>
              <w:t>MBp</w:t>
            </w:r>
            <w:proofErr w:type="spellEnd"/>
            <w:r w:rsidRPr="00684CEA">
              <w:rPr>
                <w:rFonts w:hint="eastAsia"/>
              </w:rPr>
              <w:t xml:space="preserve">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2 dB</w:t>
            </w:r>
          </w:p>
        </w:tc>
      </w:tr>
    </w:tbl>
    <w:p w14:paraId="0EAF9E4B" w14:textId="77777777" w:rsidR="007B1D93" w:rsidRDefault="007B1D93" w:rsidP="00764C9C">
      <w:pPr>
        <w:spacing w:after="120"/>
        <w:rPr>
          <w:sz w:val="20"/>
          <w:szCs w:val="20"/>
        </w:rPr>
      </w:pPr>
    </w:p>
    <w:p w14:paraId="2FCAB8F8" w14:textId="2D451A8A" w:rsidR="007B1D93" w:rsidRDefault="007B1D93" w:rsidP="007B1D93">
      <w:pPr>
        <w:spacing w:after="120"/>
        <w:rPr>
          <w:sz w:val="20"/>
          <w:szCs w:val="20"/>
        </w:rPr>
      </w:pPr>
      <w:r>
        <w:rPr>
          <w:sz w:val="20"/>
          <w:szCs w:val="20"/>
        </w:rPr>
        <w:t>Based on our calculations, we observe that the maximum testable SNR is reduced to 15dB</w:t>
      </w:r>
      <w:r w:rsidR="001D74E7">
        <w:rPr>
          <w:sz w:val="20"/>
          <w:szCs w:val="20"/>
        </w:rPr>
        <w:t xml:space="preserve"> for 100MHz and 12 dB for 200MHz CBW</w:t>
      </w:r>
      <w:r>
        <w:rPr>
          <w:sz w:val="20"/>
          <w:szCs w:val="20"/>
        </w:rPr>
        <w:t xml:space="preserve">. </w:t>
      </w:r>
    </w:p>
    <w:p w14:paraId="20177492" w14:textId="4C69B853" w:rsidR="007B1D93" w:rsidRDefault="007B1D93" w:rsidP="007B1D93">
      <w:pPr>
        <w:spacing w:after="120"/>
        <w:rPr>
          <w:sz w:val="20"/>
          <w:szCs w:val="20"/>
        </w:rPr>
      </w:pPr>
      <w:r>
        <w:rPr>
          <w:sz w:val="20"/>
          <w:szCs w:val="20"/>
        </w:rPr>
        <w:lastRenderedPageBreak/>
        <w:t>For the PDSCH demodulation requirements we have 2 test cases</w:t>
      </w:r>
      <w:r w:rsidR="001D74E7">
        <w:rPr>
          <w:sz w:val="20"/>
          <w:szCs w:val="20"/>
        </w:rPr>
        <w:t xml:space="preserve"> currently with SNR requirement &gt; 15dB for 100MHz and 1 testcase with requirement &gt; 12 dB for 200MHz.</w:t>
      </w:r>
      <w:r w:rsidR="00414BDF">
        <w:rPr>
          <w:sz w:val="20"/>
          <w:szCs w:val="20"/>
        </w:rPr>
        <w:t xml:space="preserve"> The corresponding test cases are highlighted in the capture below. </w:t>
      </w:r>
    </w:p>
    <w:p w14:paraId="0FF47164" w14:textId="3B4A1C5B" w:rsidR="001D74E7" w:rsidRDefault="001D74E7" w:rsidP="007B1D93">
      <w:pPr>
        <w:spacing w:after="120"/>
        <w:rPr>
          <w:sz w:val="20"/>
          <w:szCs w:val="20"/>
        </w:rPr>
      </w:pPr>
      <w:r w:rsidRPr="001D74E7">
        <w:rPr>
          <w:noProof/>
          <w:sz w:val="20"/>
          <w:szCs w:val="20"/>
        </w:rPr>
        <w:drawing>
          <wp:inline distT="0" distB="0" distL="0" distR="0" wp14:anchorId="252EB483" wp14:editId="648322AA">
            <wp:extent cx="5943600" cy="405257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5"/>
                    <a:stretch>
                      <a:fillRect/>
                    </a:stretch>
                  </pic:blipFill>
                  <pic:spPr>
                    <a:xfrm>
                      <a:off x="0" y="0"/>
                      <a:ext cx="5943600" cy="4052570"/>
                    </a:xfrm>
                    <a:prstGeom prst="rect">
                      <a:avLst/>
                    </a:prstGeom>
                  </pic:spPr>
                </pic:pic>
              </a:graphicData>
            </a:graphic>
          </wp:inline>
        </w:drawing>
      </w:r>
    </w:p>
    <w:p w14:paraId="5F16A1C5" w14:textId="77777777" w:rsidR="00414BDF" w:rsidRPr="00414BDF" w:rsidRDefault="00414BDF" w:rsidP="005B410D">
      <w:pPr>
        <w:spacing w:after="120"/>
        <w:rPr>
          <w:i/>
          <w:iCs/>
          <w:sz w:val="20"/>
          <w:szCs w:val="20"/>
        </w:rPr>
      </w:pPr>
      <w:r w:rsidRPr="00414BDF">
        <w:rPr>
          <w:b/>
          <w:bCs/>
          <w:i/>
          <w:iCs/>
          <w:sz w:val="20"/>
          <w:szCs w:val="20"/>
        </w:rPr>
        <w:t>Observation #1:</w:t>
      </w:r>
      <w:r w:rsidRPr="00414BDF">
        <w:rPr>
          <w:i/>
          <w:iCs/>
          <w:sz w:val="20"/>
          <w:szCs w:val="20"/>
        </w:rPr>
        <w:t xml:space="preserve"> For the existing requirements, 2 test cases for 100MHz and 1 test case for 200MHz have SNR requirements above the maximum allowable SNR.</w:t>
      </w:r>
    </w:p>
    <w:p w14:paraId="6710D110" w14:textId="3AB5DB21" w:rsidR="009F52D7" w:rsidRDefault="00414BDF" w:rsidP="005B410D">
      <w:pPr>
        <w:spacing w:after="120"/>
        <w:rPr>
          <w:sz w:val="20"/>
          <w:szCs w:val="20"/>
        </w:rPr>
      </w:pPr>
      <w:r>
        <w:rPr>
          <w:sz w:val="20"/>
          <w:szCs w:val="20"/>
        </w:rPr>
        <w:t>Although the requirement would be met from a baseband perspective, it would be incorrect to state that the requirements are applicable up to all FR2 bands up to 48GHz</w:t>
      </w:r>
      <w:r w:rsidR="003F335A">
        <w:rPr>
          <w:sz w:val="20"/>
          <w:szCs w:val="20"/>
        </w:rPr>
        <w:t xml:space="preserve"> when </w:t>
      </w:r>
      <w:r w:rsidR="00175C75">
        <w:rPr>
          <w:sz w:val="20"/>
          <w:szCs w:val="20"/>
        </w:rPr>
        <w:t xml:space="preserve">they might not be testable. </w:t>
      </w:r>
      <w:r w:rsidR="00527E75">
        <w:rPr>
          <w:sz w:val="20"/>
          <w:szCs w:val="20"/>
        </w:rPr>
        <w:t xml:space="preserve">One possibility is to define that certain tests are not applicable to bands with higher carrier frequency, such as 47GHz. </w:t>
      </w:r>
      <w:r w:rsidR="00175C75">
        <w:rPr>
          <w:sz w:val="20"/>
          <w:szCs w:val="20"/>
        </w:rPr>
        <w:t xml:space="preserve"> There would be more discussion on the testability for band n262 for baseband requirements and the maximum SNR. Based on the outcome of the testability discussion we propose to define the applicability of requirements in 38.101-4 for 47GHz</w:t>
      </w:r>
      <w:r w:rsidR="00527E75">
        <w:rPr>
          <w:sz w:val="20"/>
          <w:szCs w:val="20"/>
        </w:rPr>
        <w:t xml:space="preserve"> band</w:t>
      </w:r>
      <w:r w:rsidR="00175C75">
        <w:rPr>
          <w:sz w:val="20"/>
          <w:szCs w:val="20"/>
        </w:rPr>
        <w:t>.</w:t>
      </w:r>
    </w:p>
    <w:p w14:paraId="43CDEE28" w14:textId="76EC4A82" w:rsidR="00175C75" w:rsidRPr="00175C75" w:rsidRDefault="00175C75" w:rsidP="005B410D">
      <w:pPr>
        <w:spacing w:after="120"/>
        <w:rPr>
          <w:b/>
          <w:bCs/>
          <w:sz w:val="20"/>
          <w:szCs w:val="20"/>
        </w:rPr>
      </w:pPr>
      <w:r>
        <w:rPr>
          <w:b/>
          <w:bCs/>
          <w:sz w:val="20"/>
          <w:szCs w:val="20"/>
        </w:rPr>
        <w:t xml:space="preserve">Proposal #1: Define applicability of requirements in FR2 for 47GHz band based on outcome of </w:t>
      </w:r>
      <w:proofErr w:type="spellStart"/>
      <w:r>
        <w:rPr>
          <w:b/>
          <w:bCs/>
          <w:sz w:val="20"/>
          <w:szCs w:val="20"/>
        </w:rPr>
        <w:t>demod</w:t>
      </w:r>
      <w:proofErr w:type="spellEnd"/>
      <w:r>
        <w:rPr>
          <w:b/>
          <w:bCs/>
          <w:sz w:val="20"/>
          <w:szCs w:val="20"/>
        </w:rPr>
        <w:t xml:space="preserve"> testability discussion. </w:t>
      </w:r>
    </w:p>
    <w:p w14:paraId="610C0328" w14:textId="4BC55B0D" w:rsidR="00414BDF" w:rsidRPr="005B410D" w:rsidRDefault="00414BDF" w:rsidP="005B410D">
      <w:pPr>
        <w:spacing w:after="120"/>
        <w:rPr>
          <w:sz w:val="20"/>
          <w:szCs w:val="20"/>
        </w:rPr>
      </w:pPr>
    </w:p>
    <w:p w14:paraId="0B3141EF" w14:textId="77777777" w:rsidR="009F52D7" w:rsidRPr="002F79EB" w:rsidRDefault="009F52D7" w:rsidP="009F52D7">
      <w:pPr>
        <w:pStyle w:val="Heading1"/>
        <w:rPr>
          <w:lang w:val="en-US"/>
        </w:rPr>
      </w:pPr>
      <w:r>
        <w:rPr>
          <w:lang w:val="en-US"/>
        </w:rPr>
        <w:t>3. Conclusion</w:t>
      </w:r>
    </w:p>
    <w:p w14:paraId="7BBB2F9C" w14:textId="3A484564" w:rsidR="009F52D7" w:rsidRPr="005B410D" w:rsidRDefault="009F52D7" w:rsidP="005B410D">
      <w:pPr>
        <w:spacing w:after="120"/>
        <w:rPr>
          <w:sz w:val="20"/>
          <w:szCs w:val="20"/>
        </w:rPr>
      </w:pPr>
      <w:r w:rsidRPr="001B2960">
        <w:rPr>
          <w:sz w:val="20"/>
          <w:szCs w:val="20"/>
        </w:rPr>
        <w:t xml:space="preserve">In this paper, we provide our views on </w:t>
      </w:r>
      <w:r w:rsidR="001B2960" w:rsidRPr="001B2960">
        <w:rPr>
          <w:sz w:val="20"/>
          <w:szCs w:val="20"/>
        </w:rPr>
        <w:t>UE demodulation requirements for 47GHz</w:t>
      </w:r>
      <w:r w:rsidRPr="001B2960">
        <w:rPr>
          <w:sz w:val="20"/>
          <w:szCs w:val="20"/>
        </w:rPr>
        <w:t>. Our observations and proposals are captured below:</w:t>
      </w:r>
    </w:p>
    <w:p w14:paraId="23A7847C" w14:textId="77777777" w:rsidR="001B2960" w:rsidRPr="00414BDF" w:rsidRDefault="001B2960" w:rsidP="001B2960">
      <w:pPr>
        <w:spacing w:after="120"/>
        <w:rPr>
          <w:i/>
          <w:iCs/>
          <w:sz w:val="20"/>
          <w:szCs w:val="20"/>
        </w:rPr>
      </w:pPr>
      <w:r w:rsidRPr="00414BDF">
        <w:rPr>
          <w:b/>
          <w:bCs/>
          <w:i/>
          <w:iCs/>
          <w:sz w:val="20"/>
          <w:szCs w:val="20"/>
        </w:rPr>
        <w:t>Observation #1:</w:t>
      </w:r>
      <w:r w:rsidRPr="00414BDF">
        <w:rPr>
          <w:i/>
          <w:iCs/>
          <w:sz w:val="20"/>
          <w:szCs w:val="20"/>
        </w:rPr>
        <w:t xml:space="preserve"> For the existing requirements, 2 test cases for 100MHz and 1 test case for 200MHz have SNR requirements above the maximum allowable SNR.</w:t>
      </w:r>
    </w:p>
    <w:p w14:paraId="434689F9" w14:textId="77777777" w:rsidR="001B2960" w:rsidRPr="00175C75" w:rsidRDefault="001B2960" w:rsidP="001B2960">
      <w:pPr>
        <w:spacing w:after="120"/>
        <w:rPr>
          <w:b/>
          <w:bCs/>
          <w:sz w:val="20"/>
          <w:szCs w:val="20"/>
        </w:rPr>
      </w:pPr>
      <w:r>
        <w:rPr>
          <w:b/>
          <w:bCs/>
          <w:sz w:val="20"/>
          <w:szCs w:val="20"/>
        </w:rPr>
        <w:t xml:space="preserve">Proposal #1: Define applicability of requirements in FR2 for 47GHz band based on outcome of </w:t>
      </w:r>
      <w:proofErr w:type="spellStart"/>
      <w:r>
        <w:rPr>
          <w:b/>
          <w:bCs/>
          <w:sz w:val="20"/>
          <w:szCs w:val="20"/>
        </w:rPr>
        <w:t>demod</w:t>
      </w:r>
      <w:proofErr w:type="spellEnd"/>
      <w:r>
        <w:rPr>
          <w:b/>
          <w:bCs/>
          <w:sz w:val="20"/>
          <w:szCs w:val="20"/>
        </w:rPr>
        <w:t xml:space="preserve"> testability discussion.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6DA453EE" w:rsidR="009F52D7" w:rsidRDefault="00565FB3" w:rsidP="009F52D7">
      <w:pPr>
        <w:pStyle w:val="ListParagraph"/>
        <w:numPr>
          <w:ilvl w:val="0"/>
          <w:numId w:val="2"/>
        </w:numPr>
        <w:spacing w:after="120"/>
        <w:ind w:firstLineChars="0"/>
        <w:jc w:val="both"/>
        <w:rPr>
          <w:rFonts w:ascii="Times New Roman" w:hAnsi="Times New Roman" w:cs="Times New Roman"/>
          <w:sz w:val="20"/>
          <w:szCs w:val="20"/>
        </w:rPr>
      </w:pPr>
      <w:r w:rsidRPr="00565FB3">
        <w:rPr>
          <w:rFonts w:ascii="Times New Roman" w:hAnsi="Times New Roman" w:cs="Times New Roman"/>
          <w:sz w:val="20"/>
          <w:szCs w:val="20"/>
        </w:rPr>
        <w:t>R4-2103875</w:t>
      </w:r>
      <w:r w:rsidR="009F52D7" w:rsidRPr="005679CD">
        <w:rPr>
          <w:rFonts w:ascii="Times New Roman" w:hAnsi="Times New Roman" w:cs="Times New Roman"/>
          <w:sz w:val="20"/>
          <w:szCs w:val="20"/>
        </w:rPr>
        <w:t>, “</w:t>
      </w:r>
      <w:r w:rsidRPr="00565FB3">
        <w:rPr>
          <w:rFonts w:ascii="Times New Roman" w:hAnsi="Times New Roman" w:cs="Times New Roman"/>
          <w:sz w:val="20"/>
          <w:szCs w:val="20"/>
        </w:rPr>
        <w:t>Way forward on UE/BS demodulation on NR 47GHz band</w:t>
      </w:r>
      <w:r w:rsidR="009F52D7" w:rsidRPr="005679CD">
        <w:rPr>
          <w:rFonts w:ascii="Times New Roman" w:hAnsi="Times New Roman" w:cs="Times New Roman"/>
          <w:sz w:val="20"/>
          <w:szCs w:val="20"/>
        </w:rPr>
        <w:t xml:space="preserve">”, </w:t>
      </w:r>
      <w:r>
        <w:rPr>
          <w:rFonts w:ascii="Times New Roman" w:hAnsi="Times New Roman" w:cs="Times New Roman"/>
          <w:sz w:val="20"/>
          <w:szCs w:val="20"/>
        </w:rPr>
        <w:t>Ericsson</w:t>
      </w:r>
      <w:r w:rsidR="009F52D7" w:rsidRPr="005679CD">
        <w:rPr>
          <w:rFonts w:ascii="Times New Roman" w:hAnsi="Times New Roman" w:cs="Times New Roman"/>
          <w:sz w:val="20"/>
          <w:szCs w:val="20"/>
        </w:rPr>
        <w:t xml:space="preserve">.  </w:t>
      </w:r>
    </w:p>
    <w:p w14:paraId="5434D496" w14:textId="764F5F6F" w:rsidR="00527E75" w:rsidRDefault="006761E4" w:rsidP="009F52D7">
      <w:pPr>
        <w:pStyle w:val="ListParagraph"/>
        <w:numPr>
          <w:ilvl w:val="0"/>
          <w:numId w:val="2"/>
        </w:numPr>
        <w:spacing w:after="120"/>
        <w:ind w:firstLineChars="0"/>
        <w:jc w:val="both"/>
        <w:rPr>
          <w:rFonts w:ascii="Times New Roman" w:hAnsi="Times New Roman" w:cs="Times New Roman"/>
          <w:sz w:val="20"/>
          <w:szCs w:val="20"/>
        </w:rPr>
      </w:pPr>
      <w:r w:rsidRPr="006761E4">
        <w:rPr>
          <w:rFonts w:ascii="Times New Roman" w:hAnsi="Times New Roman" w:cs="Times New Roman"/>
          <w:sz w:val="20"/>
          <w:szCs w:val="20"/>
        </w:rPr>
        <w:t>R4-2104896</w:t>
      </w:r>
      <w:r w:rsidR="00527E75">
        <w:rPr>
          <w:rFonts w:ascii="Times New Roman" w:hAnsi="Times New Roman" w:cs="Times New Roman"/>
          <w:sz w:val="20"/>
          <w:szCs w:val="20"/>
        </w:rPr>
        <w:t>, “</w:t>
      </w:r>
      <w:r w:rsidR="00527E75" w:rsidRPr="00527E75">
        <w:rPr>
          <w:rFonts w:ascii="Times New Roman" w:hAnsi="Times New Roman" w:cs="Times New Roman"/>
          <w:sz w:val="20"/>
          <w:szCs w:val="20"/>
        </w:rPr>
        <w:t>On permitted test methods for demodulation in band n262</w:t>
      </w:r>
      <w:r w:rsidR="00527E75">
        <w:rPr>
          <w:rFonts w:ascii="Times New Roman" w:hAnsi="Times New Roman" w:cs="Times New Roman"/>
          <w:sz w:val="20"/>
          <w:szCs w:val="20"/>
        </w:rPr>
        <w:t>”, Apple.</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2E3E3781"/>
    <w:multiLevelType w:val="hybridMultilevel"/>
    <w:tmpl w:val="2F9CE182"/>
    <w:lvl w:ilvl="0" w:tplc="FBEC56AA">
      <w:start w:val="1"/>
      <w:numFmt w:val="bullet"/>
      <w:lvlText w:val="•"/>
      <w:lvlJc w:val="left"/>
      <w:pPr>
        <w:tabs>
          <w:tab w:val="num" w:pos="360"/>
        </w:tabs>
        <w:ind w:left="360" w:hanging="360"/>
      </w:pPr>
      <w:rPr>
        <w:rFonts w:ascii="Arial" w:hAnsi="Arial" w:hint="default"/>
      </w:rPr>
    </w:lvl>
    <w:lvl w:ilvl="1" w:tplc="255803B0">
      <w:numFmt w:val="bullet"/>
      <w:lvlText w:val="•"/>
      <w:lvlJc w:val="left"/>
      <w:pPr>
        <w:tabs>
          <w:tab w:val="num" w:pos="1080"/>
        </w:tabs>
        <w:ind w:left="1080" w:hanging="360"/>
      </w:pPr>
      <w:rPr>
        <w:rFonts w:ascii="Arial" w:hAnsi="Arial" w:hint="default"/>
      </w:rPr>
    </w:lvl>
    <w:lvl w:ilvl="2" w:tplc="DA544FEA">
      <w:numFmt w:val="bullet"/>
      <w:lvlText w:val="•"/>
      <w:lvlJc w:val="left"/>
      <w:pPr>
        <w:tabs>
          <w:tab w:val="num" w:pos="1800"/>
        </w:tabs>
        <w:ind w:left="1800" w:hanging="360"/>
      </w:pPr>
      <w:rPr>
        <w:rFonts w:ascii="Arial" w:hAnsi="Arial" w:hint="default"/>
      </w:rPr>
    </w:lvl>
    <w:lvl w:ilvl="3" w:tplc="4228682A">
      <w:numFmt w:val="bullet"/>
      <w:lvlText w:val="•"/>
      <w:lvlJc w:val="left"/>
      <w:pPr>
        <w:tabs>
          <w:tab w:val="num" w:pos="2520"/>
        </w:tabs>
        <w:ind w:left="2520" w:hanging="360"/>
      </w:pPr>
      <w:rPr>
        <w:rFonts w:ascii="Arial" w:hAnsi="Arial" w:hint="default"/>
      </w:rPr>
    </w:lvl>
    <w:lvl w:ilvl="4" w:tplc="A4A25A38" w:tentative="1">
      <w:start w:val="1"/>
      <w:numFmt w:val="bullet"/>
      <w:lvlText w:val="•"/>
      <w:lvlJc w:val="left"/>
      <w:pPr>
        <w:tabs>
          <w:tab w:val="num" w:pos="3240"/>
        </w:tabs>
        <w:ind w:left="3240" w:hanging="360"/>
      </w:pPr>
      <w:rPr>
        <w:rFonts w:ascii="Arial" w:hAnsi="Arial" w:hint="default"/>
      </w:rPr>
    </w:lvl>
    <w:lvl w:ilvl="5" w:tplc="925C589E" w:tentative="1">
      <w:start w:val="1"/>
      <w:numFmt w:val="bullet"/>
      <w:lvlText w:val="•"/>
      <w:lvlJc w:val="left"/>
      <w:pPr>
        <w:tabs>
          <w:tab w:val="num" w:pos="3960"/>
        </w:tabs>
        <w:ind w:left="3960" w:hanging="360"/>
      </w:pPr>
      <w:rPr>
        <w:rFonts w:ascii="Arial" w:hAnsi="Arial" w:hint="default"/>
      </w:rPr>
    </w:lvl>
    <w:lvl w:ilvl="6" w:tplc="FA4CBDAC" w:tentative="1">
      <w:start w:val="1"/>
      <w:numFmt w:val="bullet"/>
      <w:lvlText w:val="•"/>
      <w:lvlJc w:val="left"/>
      <w:pPr>
        <w:tabs>
          <w:tab w:val="num" w:pos="4680"/>
        </w:tabs>
        <w:ind w:left="4680" w:hanging="360"/>
      </w:pPr>
      <w:rPr>
        <w:rFonts w:ascii="Arial" w:hAnsi="Arial" w:hint="default"/>
      </w:rPr>
    </w:lvl>
    <w:lvl w:ilvl="7" w:tplc="FD7621E8" w:tentative="1">
      <w:start w:val="1"/>
      <w:numFmt w:val="bullet"/>
      <w:lvlText w:val="•"/>
      <w:lvlJc w:val="left"/>
      <w:pPr>
        <w:tabs>
          <w:tab w:val="num" w:pos="5400"/>
        </w:tabs>
        <w:ind w:left="5400" w:hanging="360"/>
      </w:pPr>
      <w:rPr>
        <w:rFonts w:ascii="Arial" w:hAnsi="Arial" w:hint="default"/>
      </w:rPr>
    </w:lvl>
    <w:lvl w:ilvl="8" w:tplc="2F542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81B25"/>
    <w:rsid w:val="00121828"/>
    <w:rsid w:val="00175C75"/>
    <w:rsid w:val="00177147"/>
    <w:rsid w:val="001B24FF"/>
    <w:rsid w:val="001B2960"/>
    <w:rsid w:val="001B5D0A"/>
    <w:rsid w:val="001C663E"/>
    <w:rsid w:val="001D74E7"/>
    <w:rsid w:val="002863A8"/>
    <w:rsid w:val="002870EA"/>
    <w:rsid w:val="002F4FA3"/>
    <w:rsid w:val="003125F6"/>
    <w:rsid w:val="003F335A"/>
    <w:rsid w:val="00414BDF"/>
    <w:rsid w:val="004816E1"/>
    <w:rsid w:val="00485CD5"/>
    <w:rsid w:val="004C4D05"/>
    <w:rsid w:val="004D1584"/>
    <w:rsid w:val="00527E75"/>
    <w:rsid w:val="00565FB3"/>
    <w:rsid w:val="005679CD"/>
    <w:rsid w:val="00571E53"/>
    <w:rsid w:val="00587718"/>
    <w:rsid w:val="005B410D"/>
    <w:rsid w:val="005C1BE2"/>
    <w:rsid w:val="005D1B1F"/>
    <w:rsid w:val="006415CC"/>
    <w:rsid w:val="006761E4"/>
    <w:rsid w:val="00736525"/>
    <w:rsid w:val="00764C9C"/>
    <w:rsid w:val="007A3BE1"/>
    <w:rsid w:val="007B1D93"/>
    <w:rsid w:val="007C626C"/>
    <w:rsid w:val="008946F8"/>
    <w:rsid w:val="008C056D"/>
    <w:rsid w:val="00924CB2"/>
    <w:rsid w:val="00951300"/>
    <w:rsid w:val="009D596C"/>
    <w:rsid w:val="009F52D7"/>
    <w:rsid w:val="00AC3ED4"/>
    <w:rsid w:val="00B0144F"/>
    <w:rsid w:val="00B55F62"/>
    <w:rsid w:val="00CC5431"/>
    <w:rsid w:val="00CD0F63"/>
    <w:rsid w:val="00D12319"/>
    <w:rsid w:val="00D244EF"/>
    <w:rsid w:val="00DB6943"/>
    <w:rsid w:val="00DF1ED2"/>
    <w:rsid w:val="00E5586A"/>
    <w:rsid w:val="00E9138B"/>
    <w:rsid w:val="00F5591B"/>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764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D93"/>
    <w:rPr>
      <w:b/>
    </w:rPr>
  </w:style>
  <w:style w:type="paragraph" w:customStyle="1" w:styleId="TAC">
    <w:name w:val="TAC"/>
    <w:basedOn w:val="Normal"/>
    <w:link w:val="TACChar"/>
    <w:qFormat/>
    <w:rsid w:val="007B1D93"/>
    <w:pPr>
      <w:keepNext/>
      <w:keepLines/>
      <w:jc w:val="center"/>
    </w:pPr>
    <w:rPr>
      <w:rFonts w:ascii="Arial" w:eastAsia="Times New Roman" w:hAnsi="Arial"/>
      <w:sz w:val="18"/>
      <w:szCs w:val="20"/>
      <w:lang w:val="en-GB"/>
    </w:rPr>
  </w:style>
  <w:style w:type="paragraph" w:customStyle="1" w:styleId="TAN">
    <w:name w:val="TAN"/>
    <w:basedOn w:val="Normal"/>
    <w:link w:val="TANChar"/>
    <w:qFormat/>
    <w:rsid w:val="007B1D93"/>
    <w:pPr>
      <w:keepNext/>
      <w:keepLines/>
      <w:ind w:left="851" w:hanging="851"/>
      <w:jc w:val="left"/>
    </w:pPr>
    <w:rPr>
      <w:rFonts w:ascii="Arial" w:eastAsia="Times New Roman" w:hAnsi="Arial"/>
      <w:sz w:val="18"/>
      <w:szCs w:val="20"/>
      <w:lang w:val="en-GB"/>
    </w:rPr>
  </w:style>
  <w:style w:type="character" w:customStyle="1" w:styleId="TACChar">
    <w:name w:val="TAC Char"/>
    <w:link w:val="TAC"/>
    <w:qFormat/>
    <w:rsid w:val="007B1D93"/>
    <w:rPr>
      <w:rFonts w:ascii="Arial" w:eastAsia="Times New Roman" w:hAnsi="Arial" w:cs="Times New Roman"/>
      <w:sz w:val="18"/>
      <w:szCs w:val="20"/>
      <w:lang w:val="en-GB"/>
    </w:rPr>
  </w:style>
  <w:style w:type="character" w:customStyle="1" w:styleId="TAHCar">
    <w:name w:val="TAH Car"/>
    <w:link w:val="TAH"/>
    <w:qFormat/>
    <w:rsid w:val="007B1D93"/>
    <w:rPr>
      <w:rFonts w:ascii="Arial" w:eastAsia="Times New Roman" w:hAnsi="Arial" w:cs="Times New Roman"/>
      <w:b/>
      <w:sz w:val="18"/>
      <w:szCs w:val="20"/>
      <w:lang w:val="en-GB"/>
    </w:rPr>
  </w:style>
  <w:style w:type="character" w:customStyle="1" w:styleId="TANChar">
    <w:name w:val="TAN Char"/>
    <w:link w:val="TAN"/>
    <w:rsid w:val="007B1D93"/>
    <w:rPr>
      <w:rFonts w:ascii="Arial" w:eastAsia="Times New Roman" w:hAnsi="Arial" w:cs="Times New Roman"/>
      <w:sz w:val="18"/>
      <w:szCs w:val="20"/>
      <w:lang w:val="en-GB"/>
    </w:rPr>
  </w:style>
  <w:style w:type="paragraph" w:customStyle="1" w:styleId="TH">
    <w:name w:val="TH"/>
    <w:basedOn w:val="Normal"/>
    <w:link w:val="THChar"/>
    <w:qFormat/>
    <w:rsid w:val="00414BDF"/>
    <w:pPr>
      <w:keepNext/>
      <w:keepLines/>
      <w:spacing w:before="60" w:after="180"/>
      <w:jc w:val="center"/>
    </w:pPr>
    <w:rPr>
      <w:rFonts w:ascii="Arial" w:eastAsia="Times New Roman" w:hAnsi="Arial"/>
      <w:b/>
      <w:sz w:val="20"/>
      <w:szCs w:val="20"/>
      <w:lang w:val="en-GB"/>
    </w:rPr>
  </w:style>
  <w:style w:type="character" w:customStyle="1" w:styleId="THChar">
    <w:name w:val="TH Char"/>
    <w:link w:val="TH"/>
    <w:qFormat/>
    <w:rsid w:val="00414BDF"/>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2706757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35326670">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63067155">
      <w:bodyDiv w:val="1"/>
      <w:marLeft w:val="0"/>
      <w:marRight w:val="0"/>
      <w:marTop w:val="0"/>
      <w:marBottom w:val="0"/>
      <w:divBdr>
        <w:top w:val="none" w:sz="0" w:space="0" w:color="auto"/>
        <w:left w:val="none" w:sz="0" w:space="0" w:color="auto"/>
        <w:bottom w:val="none" w:sz="0" w:space="0" w:color="auto"/>
        <w:right w:val="none" w:sz="0" w:space="0" w:color="auto"/>
      </w:divBdr>
    </w:div>
    <w:div w:id="1817070832">
      <w:bodyDiv w:val="1"/>
      <w:marLeft w:val="0"/>
      <w:marRight w:val="0"/>
      <w:marTop w:val="0"/>
      <w:marBottom w:val="0"/>
      <w:divBdr>
        <w:top w:val="none" w:sz="0" w:space="0" w:color="auto"/>
        <w:left w:val="none" w:sz="0" w:space="0" w:color="auto"/>
        <w:bottom w:val="none" w:sz="0" w:space="0" w:color="auto"/>
        <w:right w:val="none" w:sz="0" w:space="0" w:color="auto"/>
      </w:divBdr>
    </w:div>
    <w:div w:id="2029332155">
      <w:bodyDiv w:val="1"/>
      <w:marLeft w:val="0"/>
      <w:marRight w:val="0"/>
      <w:marTop w:val="0"/>
      <w:marBottom w:val="0"/>
      <w:divBdr>
        <w:top w:val="none" w:sz="0" w:space="0" w:color="auto"/>
        <w:left w:val="none" w:sz="0" w:space="0" w:color="auto"/>
        <w:bottom w:val="none" w:sz="0" w:space="0" w:color="auto"/>
        <w:right w:val="none" w:sz="0" w:space="0" w:color="auto"/>
      </w:divBdr>
      <w:divsChild>
        <w:div w:id="1466583152">
          <w:marLeft w:val="360"/>
          <w:marRight w:val="0"/>
          <w:marTop w:val="200"/>
          <w:marBottom w:val="0"/>
          <w:divBdr>
            <w:top w:val="none" w:sz="0" w:space="0" w:color="auto"/>
            <w:left w:val="none" w:sz="0" w:space="0" w:color="auto"/>
            <w:bottom w:val="none" w:sz="0" w:space="0" w:color="auto"/>
            <w:right w:val="none" w:sz="0" w:space="0" w:color="auto"/>
          </w:divBdr>
        </w:div>
        <w:div w:id="1651710867">
          <w:marLeft w:val="1080"/>
          <w:marRight w:val="0"/>
          <w:marTop w:val="100"/>
          <w:marBottom w:val="0"/>
          <w:divBdr>
            <w:top w:val="none" w:sz="0" w:space="0" w:color="auto"/>
            <w:left w:val="none" w:sz="0" w:space="0" w:color="auto"/>
            <w:bottom w:val="none" w:sz="0" w:space="0" w:color="auto"/>
            <w:right w:val="none" w:sz="0" w:space="0" w:color="auto"/>
          </w:divBdr>
        </w:div>
        <w:div w:id="218631934">
          <w:marLeft w:val="1800"/>
          <w:marRight w:val="0"/>
          <w:marTop w:val="100"/>
          <w:marBottom w:val="0"/>
          <w:divBdr>
            <w:top w:val="none" w:sz="0" w:space="0" w:color="auto"/>
            <w:left w:val="none" w:sz="0" w:space="0" w:color="auto"/>
            <w:bottom w:val="none" w:sz="0" w:space="0" w:color="auto"/>
            <w:right w:val="none" w:sz="0" w:space="0" w:color="auto"/>
          </w:divBdr>
        </w:div>
        <w:div w:id="1379083439">
          <w:marLeft w:val="2520"/>
          <w:marRight w:val="0"/>
          <w:marTop w:val="100"/>
          <w:marBottom w:val="0"/>
          <w:divBdr>
            <w:top w:val="none" w:sz="0" w:space="0" w:color="auto"/>
            <w:left w:val="none" w:sz="0" w:space="0" w:color="auto"/>
            <w:bottom w:val="none" w:sz="0" w:space="0" w:color="auto"/>
            <w:right w:val="none" w:sz="0" w:space="0" w:color="auto"/>
          </w:divBdr>
        </w:div>
        <w:div w:id="807431051">
          <w:marLeft w:val="1800"/>
          <w:marRight w:val="0"/>
          <w:marTop w:val="100"/>
          <w:marBottom w:val="0"/>
          <w:divBdr>
            <w:top w:val="none" w:sz="0" w:space="0" w:color="auto"/>
            <w:left w:val="none" w:sz="0" w:space="0" w:color="auto"/>
            <w:bottom w:val="none" w:sz="0" w:space="0" w:color="auto"/>
            <w:right w:val="none" w:sz="0" w:space="0" w:color="auto"/>
          </w:divBdr>
        </w:div>
        <w:div w:id="129343591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568</Words>
  <Characters>3024</Characters>
  <Application>Microsoft Office Word</Application>
  <DocSecurity>0</DocSecurity>
  <Lines>159</Lines>
  <Paragraphs>89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 Raghavan</cp:lastModifiedBy>
  <cp:revision>4</cp:revision>
  <dcterms:created xsi:type="dcterms:W3CDTF">2021-04-02T00:35:00Z</dcterms:created>
  <dcterms:modified xsi:type="dcterms:W3CDTF">2021-04-02T15:49:00Z</dcterms:modified>
</cp:coreProperties>
</file>